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E" w:rsidRPr="00454847" w:rsidRDefault="00E2260E" w:rsidP="00E2260E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недвижимость: советы Кадастровой палаты</w:t>
      </w:r>
    </w:p>
    <w:p w:rsidR="00E2260E" w:rsidRPr="00E2260E" w:rsidRDefault="00E2260E" w:rsidP="00E2260E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60E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Федеральной кадастровой палате Росреестра рассказали о правовых аспектах и особенностях отчуждения объекта недвижимости на основании договора дарения</w:t>
      </w:r>
    </w:p>
    <w:p w:rsidR="00E2260E" w:rsidRPr="00E2260E" w:rsidRDefault="00E2260E" w:rsidP="00E2260E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26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Законодательство устанавливает: </w:t>
      </w:r>
      <w:r w:rsidRPr="00E2260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лицам на основании договоров купли-продажи, мены, дарения или иной сделки об отчуждении недвижимости.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260E">
        <w:rPr>
          <w:rFonts w:ascii="Times New Roman" w:hAnsi="Times New Roman" w:cs="Times New Roman"/>
          <w:bCs/>
          <w:sz w:val="28"/>
          <w:szCs w:val="28"/>
        </w:rPr>
        <w:t>В результате отчуждения объекта недвижимости осуществляется переход права собственности от собственника объекта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60E">
        <w:rPr>
          <w:rFonts w:ascii="Times New Roman" w:hAnsi="Times New Roman" w:cs="Times New Roman"/>
          <w:bCs/>
          <w:sz w:val="28"/>
          <w:szCs w:val="28"/>
        </w:rPr>
        <w:t>к его приобретателю, о чем в Единый государственный реестр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60E">
        <w:rPr>
          <w:rFonts w:ascii="Times New Roman" w:hAnsi="Times New Roman" w:cs="Times New Roman"/>
          <w:bCs/>
          <w:sz w:val="28"/>
          <w:szCs w:val="28"/>
        </w:rPr>
        <w:t xml:space="preserve">вносится запись. </w:t>
      </w:r>
    </w:p>
    <w:p w:rsidR="00E2260E" w:rsidRDefault="00E2260E" w:rsidP="00E2260E">
      <w:pPr>
        <w:spacing w:before="240" w:after="360" w:line="240" w:lineRule="auto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60E" w:rsidRDefault="00E2260E" w:rsidP="00E2260E">
      <w:pPr>
        <w:spacing w:before="240" w:after="36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E2260E" w:rsidRDefault="00E2260E" w:rsidP="00E2260E">
      <w:pPr>
        <w:spacing w:after="36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5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законодательно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безвозмездно передать на нее права другому лицу. Дарение недвижимости – это сделка.</w:t>
      </w:r>
      <w:bookmarkStart w:id="0" w:name="_GoBack"/>
      <w:bookmarkEnd w:id="0"/>
    </w:p>
    <w:p w:rsidR="00E2260E" w:rsidRDefault="00E2260E" w:rsidP="00E2260E">
      <w:pPr>
        <w:spacing w:before="240"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E2260E" w:rsidRPr="00454847" w:rsidRDefault="00E2260E" w:rsidP="00E2260E">
      <w:pPr>
        <w:spacing w:after="36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Произнесенное обещание подарить квартиру или дом не несет в себе никакой </w:t>
      </w:r>
      <w:hyperlink r:id="rId6" w:anchor="dst100528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законной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Передача, например,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ключей от квартиры или документов на недвижимость так же не устанавливает иного правообладателя, кроме лица или лиц, указанных в правоустанавливающих документах.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подписанный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дарителем и одаряемым договор дарения и</w:t>
      </w:r>
      <w:r w:rsidRPr="00E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зарегистрированный на основании него переход права собственности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большого подарка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2260E" w:rsidRPr="00454847" w:rsidRDefault="00E2260E" w:rsidP="00E2260E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учитывать, что д</w:t>
      </w:r>
      <w:r w:rsidRPr="00454847">
        <w:rPr>
          <w:rFonts w:ascii="Times New Roman" w:hAnsi="Times New Roman" w:cs="Times New Roman"/>
          <w:sz w:val="28"/>
          <w:szCs w:val="28"/>
        </w:rPr>
        <w:t>оговор, предусматривающий передачу объекта недвижимости одаряемому после смерти дарителя, ничтожен, и в государственной регистрации перехода права собственности по такому договору будет отказано</w:t>
      </w:r>
      <w:proofErr w:type="gramStart"/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тороны договора дарения могут состоять в родстве, так и не являться родственниками.</w:t>
      </w:r>
    </w:p>
    <w:p w:rsidR="00E2260E" w:rsidRPr="00454847" w:rsidRDefault="00E2260E" w:rsidP="00E2260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7" w:history="1">
        <w:r w:rsidRPr="001E74A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п. 18.1</w:t>
        </w:r>
      </w:hyperlink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217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получит в дар не близкий родственник, то по закону он должен будет уплатить подоходный налог в размере 13% от кадастровой стоимости объекта.</w:t>
      </w:r>
    </w:p>
    <w:p w:rsidR="00E2260E" w:rsidRPr="00454847" w:rsidRDefault="00E2260E" w:rsidP="00E2260E">
      <w:pPr>
        <w:spacing w:after="36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договора дарения может выступать как непосредственно объект недвижимости, принадлежащий дарителю на праве собственности, так и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E2260E" w:rsidRPr="00454847" w:rsidRDefault="00E2260E" w:rsidP="00E226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сделки дарения даритель не </w:t>
      </w:r>
      <w:proofErr w:type="gramStart"/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праве</w:t>
      </w:r>
      <w:proofErr w:type="gramEnd"/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устанавливать какие-либо требования для получения подарка от одаряемой стороны. Даритель никакой выгоды от сделки не получает. Если передача прав на недвижимость по договору дарения происходит под условием встречной передачи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обязательства,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сделка является </w:t>
      </w:r>
      <w:hyperlink r:id="rId8" w:anchor="dst100961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притворной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2260E" w:rsidRDefault="00E2260E" w:rsidP="00E2260E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(в п.3 </w:t>
      </w:r>
      <w:hyperlink r:id="rId9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ст.421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– стороны могут заключить договор, в котором содержатся элементы различных</w:t>
      </w:r>
      <w:r w:rsidRPr="00E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договоров) и </w:t>
      </w:r>
      <w:proofErr w:type="gramStart"/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право дарителя проживать в подаренном им жилье.</w:t>
      </w:r>
    </w:p>
    <w:p w:rsidR="00E2260E" w:rsidRPr="00454847" w:rsidRDefault="00E2260E" w:rsidP="00E2260E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260E" w:rsidRPr="00454847" w:rsidRDefault="00E2260E" w:rsidP="00E2260E">
      <w:pPr>
        <w:spacing w:before="240" w:after="36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E2260E" w:rsidRPr="00454847" w:rsidRDefault="00E2260E" w:rsidP="00E2260E">
      <w:pPr>
        <w:spacing w:after="36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Законодательно дарение регулируется Гражданским кодексом РФ, где в </w:t>
      </w:r>
      <w:hyperlink r:id="rId10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32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Дарение недвижимого имущества может совершить только сам владелец этого имущества по своему свободному волеизъявлению. Невозможно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зарегистрировать переход права собственности на недвижимость на основании договора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</w:t>
      </w:r>
      <w:proofErr w:type="gramStart"/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даритель</w:t>
      </w:r>
      <w:proofErr w:type="gramEnd"/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260E" w:rsidRPr="00454847" w:rsidRDefault="00E2260E" w:rsidP="00E2260E">
      <w:pPr>
        <w:spacing w:after="36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которым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запрещается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E2260E" w:rsidRPr="00454847" w:rsidRDefault="00E2260E" w:rsidP="00E2260E">
      <w:pPr>
        <w:pStyle w:val="a5"/>
        <w:numPr>
          <w:ilvl w:val="0"/>
          <w:numId w:val="1"/>
        </w:numPr>
        <w:spacing w:after="36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2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260E" w:rsidRPr="00454847" w:rsidRDefault="00E2260E" w:rsidP="00E2260E">
      <w:pPr>
        <w:pStyle w:val="a5"/>
        <w:numPr>
          <w:ilvl w:val="0"/>
          <w:numId w:val="1"/>
        </w:numPr>
        <w:spacing w:after="36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 и их родственникам, находящихся на лечении, содержании и воспитании в организациях медицинских, образовательных, оказывающих социальные услуги, в том числе для детей-сирот и детей, оставшихся без попечения родителей, не допускается отчуждение их имущества в дар сотрудникам этих организаций.</w:t>
      </w:r>
    </w:p>
    <w:p w:rsidR="00E2260E" w:rsidRPr="00454847" w:rsidRDefault="00E2260E" w:rsidP="00E2260E">
      <w:pPr>
        <w:pStyle w:val="a5"/>
        <w:numPr>
          <w:ilvl w:val="0"/>
          <w:numId w:val="1"/>
        </w:numPr>
        <w:spacing w:after="36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государственные должности,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E2260E" w:rsidRPr="00574B87" w:rsidRDefault="00E2260E" w:rsidP="00E2260E">
      <w:pPr>
        <w:pStyle w:val="a5"/>
        <w:numPr>
          <w:ilvl w:val="0"/>
          <w:numId w:val="1"/>
        </w:numPr>
        <w:spacing w:after="36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E2260E" w:rsidRPr="00454847" w:rsidRDefault="00E2260E" w:rsidP="00E2260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 для регистрации перехода права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дарении</w:t>
      </w:r>
    </w:p>
    <w:p w:rsidR="00E2260E" w:rsidRDefault="00E2260E" w:rsidP="00E226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Правоустанавливающим документом в случае совершения сделки 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которому 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даритель безвозмездно 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передает права на недвижимое имущество одаряемому, который,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согласен принять </w:t>
      </w:r>
      <w:r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 в дар.</w:t>
      </w:r>
    </w:p>
    <w:p w:rsidR="00E2260E" w:rsidRPr="00D8428C" w:rsidRDefault="00E2260E" w:rsidP="00E2260E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случаев, когда в дар преподносится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права в общей долевой собственности, если представителем одного из сторон договора дарения является третье лицо, действующее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доверенности 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</w:t>
      </w:r>
    </w:p>
    <w:p w:rsidR="00E2260E" w:rsidRDefault="00E2260E" w:rsidP="00E2260E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E2260E" w:rsidRPr="00A45FBE" w:rsidRDefault="00E2260E" w:rsidP="00E2260E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2260E" w:rsidRDefault="00E2260E" w:rsidP="00E2260E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</w:t>
      </w:r>
      <w:proofErr w:type="gramStart"/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сделка дарения удостоверяется нотариусом,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 может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2260E" w:rsidRPr="00ED40C8" w:rsidRDefault="00E2260E" w:rsidP="00E2260E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регистрации перехода прав собственности на подаренный объект недвижимости понадобится представить в регистрационный орган следующие документы:</w:t>
      </w:r>
    </w:p>
    <w:p w:rsidR="00E2260E" w:rsidRPr="00ED40C8" w:rsidRDefault="00E2260E" w:rsidP="00E2260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E2260E" w:rsidRPr="00454847" w:rsidRDefault="00E2260E" w:rsidP="00E2260E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E2260E" w:rsidRPr="00454847" w:rsidRDefault="00E2260E" w:rsidP="00E2260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2260E" w:rsidRPr="00454847" w:rsidRDefault="00E2260E" w:rsidP="00E2260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E2260E" w:rsidRDefault="00E2260E" w:rsidP="00E2260E">
      <w:pPr>
        <w:numPr>
          <w:ilvl w:val="0"/>
          <w:numId w:val="2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об оплате госпошлины (для физических лиц – 2000 руб., если документы подаются в электронном виде – 1400 руб.)</w:t>
      </w:r>
    </w:p>
    <w:p w:rsidR="00E2260E" w:rsidRDefault="00E2260E" w:rsidP="00E2260E">
      <w:pPr>
        <w:spacing w:after="36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</w:t>
      </w:r>
      <w:r w:rsidR="00312428">
        <w:rPr>
          <w:rFonts w:ascii="Times New Roman" w:hAnsi="Times New Roman" w:cs="Times New Roman"/>
          <w:sz w:val="28"/>
          <w:szCs w:val="28"/>
          <w:shd w:val="clear" w:color="auto" w:fill="FFFFFF"/>
        </w:rPr>
        <w:t>цию прав можно в МФЦ или в офисе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hyperlink r:id="rId13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260E" w:rsidRDefault="00E2260E" w:rsidP="00E2260E">
      <w:pPr>
        <w:spacing w:after="36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260E" w:rsidRPr="00E2260E" w:rsidRDefault="00E2260E" w:rsidP="00E2260E">
      <w:pPr>
        <w:spacing w:after="36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Федеральная Кадастровая палата Росреестра</w:t>
      </w:r>
    </w:p>
    <w:p w:rsidR="00117D69" w:rsidRDefault="00117D69" w:rsidP="00E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260E" w:rsidRDefault="00E2260E" w:rsidP="00E2260E"/>
    <w:sectPr w:rsidR="00E2260E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0E"/>
    <w:rsid w:val="00091E32"/>
    <w:rsid w:val="00117D69"/>
    <w:rsid w:val="00282812"/>
    <w:rsid w:val="00312428"/>
    <w:rsid w:val="008C6A60"/>
    <w:rsid w:val="00E2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E"/>
    <w:pPr>
      <w:spacing w:before="0"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260E"/>
    <w:rPr>
      <w:color w:val="0000FF" w:themeColor="hyperlink"/>
      <w:u w:val="single"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E22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4721eaf980204a7ee93eb51b30688e14998af84a/" TargetMode="External"/><Relationship Id="rId13" Type="http://schemas.openxmlformats.org/officeDocument/2006/relationships/hyperlink" Target="https://rosreestr.gov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625f7f7ad302ab285fe87457521eb265c7dbee3c/" TargetMode="External"/><Relationship Id="rId12" Type="http://schemas.openxmlformats.org/officeDocument/2006/relationships/hyperlink" Target="http://www.consultant.ru/document/cons_doc_LAW_76459/b819c620a8c698de35861ad4c9d9696ee0c3ee7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027/38e5ae3585f72de3522eeb3d3420eb185d57c18d/" TargetMode="External"/><Relationship Id="rId11" Type="http://schemas.openxmlformats.org/officeDocument/2006/relationships/hyperlink" Target="http://www.consultant.ru/document/cons_doc_LAW_9027/b1a993705399bf4cbb20df769e04d055c4d1f17a/" TargetMode="External"/><Relationship Id="rId5" Type="http://schemas.openxmlformats.org/officeDocument/2006/relationships/hyperlink" Target="http://www.consultant.ru/document/cons_doc_LAW_9027/e92736ea135e1b4b4f24d328a683d6954e73a27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9027/e9b1f2aeabf3c6b71feaf2170dd49d4d1c70d5d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ad08909251f4d26ebc935648e4e708a31e1603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1165</Words>
  <Characters>6646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2</cp:revision>
  <dcterms:created xsi:type="dcterms:W3CDTF">2021-03-18T12:22:00Z</dcterms:created>
  <dcterms:modified xsi:type="dcterms:W3CDTF">2021-03-18T12:30:00Z</dcterms:modified>
</cp:coreProperties>
</file>